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6379" w:right="0"/>
        <w:jc w:val="left"/>
      </w:pPr>
      <w:r>
        <w:rPr>
          <w:sz w:val="26"/>
          <w:szCs w:val="26"/>
          <w:lang w:eastAsia="uk-UA"/>
        </w:rPr>
        <w:t>ЗАТВЕРДЖЕНО</w:t>
      </w:r>
    </w:p>
    <w:p>
      <w:pPr>
        <w:pStyle w:val="style0"/>
        <w:ind w:hanging="0" w:left="6379" w:right="0"/>
        <w:jc w:val="left"/>
      </w:pPr>
      <w:r>
        <w:rPr>
          <w:sz w:val="26"/>
          <w:szCs w:val="26"/>
          <w:lang w:eastAsia="uk-UA"/>
        </w:rPr>
        <w:t xml:space="preserve">Наказ Міністерства юстиції України </w:t>
      </w:r>
    </w:p>
    <w:p>
      <w:pPr>
        <w:pStyle w:val="style0"/>
        <w:ind w:hanging="0" w:left="6379" w:right="0"/>
        <w:jc w:val="left"/>
      </w:pPr>
      <w:r>
        <w:rPr>
          <w:sz w:val="26"/>
          <w:szCs w:val="26"/>
          <w:lang w:eastAsia="uk-UA"/>
        </w:rPr>
        <w:t xml:space="preserve">13 липня 2016 року № </w:t>
      </w:r>
      <w:r>
        <w:rPr>
          <w:sz w:val="26"/>
          <w:szCs w:val="26"/>
          <w:lang w:eastAsia="uk-UA" w:val="ru-RU"/>
        </w:rPr>
        <w:t>1920</w:t>
      </w:r>
      <w:r>
        <w:rPr>
          <w:sz w:val="26"/>
          <w:szCs w:val="26"/>
          <w:lang w:eastAsia="uk-UA"/>
        </w:rPr>
        <w:t>/5</w:t>
      </w:r>
    </w:p>
    <w:p>
      <w:pPr>
        <w:pStyle w:val="style0"/>
        <w:jc w:val="center"/>
      </w:pPr>
      <w:bookmarkStart w:id="0" w:name="_GoBack"/>
      <w:bookmarkStart w:id="1" w:name="_GoBack"/>
      <w:bookmarkEnd w:id="1"/>
      <w:r>
        <w:rPr>
          <w:b/>
          <w:sz w:val="26"/>
          <w:szCs w:val="26"/>
          <w:lang w:eastAsia="uk-UA"/>
        </w:rPr>
      </w:r>
    </w:p>
    <w:p>
      <w:pPr>
        <w:pStyle w:val="style0"/>
        <w:jc w:val="center"/>
      </w:pPr>
      <w:r>
        <w:rPr>
          <w:b/>
          <w:sz w:val="26"/>
          <w:szCs w:val="26"/>
          <w:lang w:eastAsia="uk-UA"/>
        </w:rPr>
        <w:t xml:space="preserve">ІНФОРМАЦІЙНА КАРТКА </w:t>
      </w:r>
    </w:p>
    <w:p>
      <w:pPr>
        <w:pStyle w:val="style0"/>
        <w:pBdr>
          <w:bottom w:color="000000" w:space="0" w:sz="8" w:val="single"/>
        </w:pBdr>
        <w:tabs>
          <w:tab w:leader="none" w:pos="3969" w:val="left"/>
        </w:tabs>
        <w:jc w:val="center"/>
      </w:pPr>
      <w:r>
        <w:rPr>
          <w:b/>
          <w:sz w:val="26"/>
          <w:szCs w:val="26"/>
          <w:lang w:eastAsia="uk-UA"/>
        </w:rPr>
        <w:t>адміністративної послуги з державної реєстрації рішення про відміну рішення про припинення юридичної особи (крім громадського формування)</w:t>
      </w:r>
    </w:p>
    <w:p>
      <w:pPr>
        <w:pStyle w:val="style0"/>
        <w:jc w:val="center"/>
      </w:pPr>
      <w:r>
        <w:rPr/>
      </w:r>
    </w:p>
    <w:p>
      <w:pPr>
        <w:pStyle w:val="style0"/>
        <w:jc w:val="center"/>
      </w:pPr>
      <w:r>
        <w:rPr>
          <w:b/>
          <w:bCs/>
          <w:sz w:val="26"/>
          <w:szCs w:val="26"/>
          <w:lang w:eastAsia="uk-UA"/>
        </w:rPr>
        <w:t>Відділ державної реєстрації юридичних осіб та фізичних осіб — підприємців</w:t>
      </w:r>
    </w:p>
    <w:p>
      <w:pPr>
        <w:pStyle w:val="style0"/>
        <w:jc w:val="center"/>
      </w:pPr>
      <w:r>
        <w:rPr>
          <w:b/>
          <w:bCs/>
          <w:sz w:val="26"/>
          <w:szCs w:val="26"/>
          <w:lang w:eastAsia="uk-UA"/>
        </w:rPr>
        <w:t>Кіровоградської міської ради</w:t>
      </w:r>
    </w:p>
    <w:p>
      <w:pPr>
        <w:pStyle w:val="style0"/>
        <w:jc w:val="center"/>
      </w:pPr>
      <w:r>
        <w:rPr>
          <w:sz w:val="20"/>
          <w:szCs w:val="20"/>
          <w:lang w:eastAsia="uk-UA"/>
        </w:rPr>
        <w:t>(найменування суб’єкта надання адміністративної послуги та/або центру надання адміністративних послуг)</w:t>
      </w:r>
    </w:p>
    <w:p>
      <w:pPr>
        <w:pStyle w:val="style0"/>
        <w:jc w:val="center"/>
      </w:pPr>
      <w:r>
        <w:rPr>
          <w:sz w:val="20"/>
          <w:szCs w:val="20"/>
          <w:lang w:eastAsia="uk-UA"/>
        </w:rPr>
      </w:r>
    </w:p>
    <w:tbl>
      <w:tblPr>
        <w:jc w:val="left"/>
        <w:tblInd w:type="dxa" w:w="-60"/>
        <w:tblBorders>
          <w:top w:color="000001" w:space="0" w:sz="6" w:val="thickThinLargeGap"/>
          <w:left w:color="000001" w:space="0" w:sz="6" w:val="thickThinLargeGap"/>
          <w:bottom w:color="000001" w:space="0" w:sz="6" w:val="thickThinLargeGap"/>
          <w:right w:color="000001" w:space="0" w:sz="6" w:val="thickThinLargeGap"/>
        </w:tblBorders>
      </w:tblPr>
      <w:tblGrid>
        <w:gridCol w:w="9759"/>
      </w:tblGrid>
      <w:tr>
        <w:trPr>
          <w:cantSplit w:val="false"/>
        </w:trPr>
        <w:tc>
          <w:tcPr>
            <w:tcW w:type="dxa" w:w="9759"/>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bookmarkStart w:id="2" w:name="n14"/>
            <w:bookmarkEnd w:id="2"/>
            <w:r>
              <w:rPr>
                <w:b/>
                <w:sz w:val="24"/>
                <w:szCs w:val="24"/>
                <w:lang w:eastAsia="uk-UA"/>
              </w:rPr>
              <w:t xml:space="preserve">Інформація про суб’єкта надання адміністративної послуги </w:t>
            </w:r>
          </w:p>
          <w:p>
            <w:pPr>
              <w:pStyle w:val="style0"/>
              <w:jc w:val="center"/>
            </w:pPr>
            <w:r>
              <w:rPr>
                <w:b/>
                <w:sz w:val="24"/>
                <w:szCs w:val="24"/>
                <w:lang w:eastAsia="uk-UA"/>
              </w:rPr>
              <w:t>та/або центру надання адміністративних послуг</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Місцезнаходження </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25022, м.Кропивницький</w:t>
            </w:r>
          </w:p>
          <w:p>
            <w:pPr>
              <w:pStyle w:val="style0"/>
              <w:ind w:hanging="0" w:left="0" w:right="0"/>
            </w:pPr>
            <w:r>
              <w:rPr>
                <w:b/>
                <w:bCs/>
                <w:i w:val="false"/>
                <w:iCs w:val="false"/>
                <w:sz w:val="24"/>
                <w:szCs w:val="24"/>
                <w:lang w:eastAsia="uk-UA"/>
              </w:rPr>
              <w:t>вул. ВеликаПерспективна, буд. 41</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2</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Інформація щодо режиму роботи </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Понеділок — четвер — з 8.00 до 17.00</w:t>
            </w:r>
          </w:p>
          <w:p>
            <w:pPr>
              <w:pStyle w:val="style0"/>
              <w:ind w:hanging="0" w:left="0" w:right="0"/>
            </w:pPr>
            <w:r>
              <w:rPr>
                <w:b/>
                <w:bCs/>
                <w:i w:val="false"/>
                <w:iCs w:val="false"/>
                <w:sz w:val="24"/>
                <w:szCs w:val="24"/>
                <w:lang w:eastAsia="uk-UA"/>
              </w:rPr>
              <w:t>П'ятниця — з 8.00 до 16.00</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3</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Телефон/факс (довідки), адреса електронної пошти та веб-сайт </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8"/>
              <w:ind w:hanging="0" w:left="0" w:right="0"/>
              <w:jc w:val="left"/>
            </w:pPr>
            <w:r>
              <w:rPr>
                <w:color w:val="000000"/>
                <w:sz w:val="24"/>
                <w:szCs w:val="24"/>
                <w:lang w:val="uk-UA"/>
              </w:rPr>
              <w:t>тел. (0522) 24-55-74,</w:t>
            </w:r>
          </w:p>
          <w:p>
            <w:pPr>
              <w:pStyle w:val="style28"/>
              <w:ind w:hanging="0" w:left="0" w:right="0"/>
              <w:jc w:val="left"/>
            </w:pPr>
            <w:r>
              <w:rPr>
                <w:b/>
                <w:bCs/>
                <w:i/>
                <w:color w:val="000000"/>
                <w:sz w:val="24"/>
                <w:szCs w:val="24"/>
                <w:lang w:eastAsia="uk-UA" w:val="uk-UA"/>
              </w:rPr>
              <w:t>веб-сайт: http://www.dozvil.kr.ua</w:t>
            </w:r>
          </w:p>
        </w:tc>
      </w:tr>
      <w:tr>
        <w:trPr>
          <w:cantSplit w:val="false"/>
        </w:trPr>
        <w:tc>
          <w:tcPr>
            <w:tcW w:type="dxa" w:w="9759"/>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Нормативні акти, якими регламентується надання адміністративної послуги</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4</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Закони України</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4"/>
              <w:tabs>
                <w:tab w:leader="none" w:pos="217" w:val="left"/>
              </w:tabs>
              <w:ind w:firstLine="217" w:left="0" w:right="0"/>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5</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Кабінету Міністрів України</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6</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центральних органів виконавчої влади</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4"/>
              <w:tabs>
                <w:tab w:leader="none" w:pos="0" w:val="left"/>
              </w:tabs>
              <w:ind w:firstLine="217" w:left="0" w:right="0"/>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style24"/>
              <w:tabs>
                <w:tab w:leader="none" w:pos="0" w:val="left"/>
              </w:tabs>
              <w:ind w:firstLine="217" w:left="0" w:right="0"/>
            </w:pPr>
            <w:r>
              <w:rPr>
                <w:sz w:val="24"/>
                <w:szCs w:val="24"/>
                <w:lang w:eastAsia="uk-UA"/>
              </w:rPr>
              <w:t xml:space="preserve">наказ Міністерства юстиції України від 23.03.2016 </w:t>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cantSplit w:val="false"/>
        </w:trPr>
        <w:tc>
          <w:tcPr>
            <w:tcW w:type="dxa" w:w="9759"/>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Умови отримання адміністративної послуги</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7</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Підстава для отримання адміністративної послуги</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rPr>
              <w:t>Звернення уповноваженого представника  юридичної особи (далі – заявник)</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8</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Вичерпний перелік документів, необхідних для отримання адміністративної послуги</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sectPr>
                <w:headerReference r:id="rId2" w:type="default"/>
                <w:type w:val="nextPage"/>
                <w:pgSz w:h="16838" w:w="11906"/>
                <w:pgMar w:bottom="850" w:footer="0" w:gutter="0" w:header="568" w:left="1417" w:right="850" w:top="850"/>
                <w:pgNumType w:fmt="decimal"/>
                <w:formProt w:val="false"/>
                <w:titlePg/>
                <w:textDirection w:val="lrTb"/>
                <w:docGrid w:charSpace="-8193" w:linePitch="381" w:type="default"/>
              </w:sectPr>
              <w:pStyle w:val="style24"/>
              <w:tabs>
                <w:tab w:leader="none" w:pos="358" w:val="left"/>
              </w:tabs>
              <w:ind w:firstLine="223" w:left="0" w:right="0"/>
            </w:pPr>
            <w:bookmarkStart w:id="3" w:name="n550"/>
            <w:bookmarkEnd w:id="3"/>
            <w:r>
              <w:rPr>
                <w:sz w:val="24"/>
                <w:szCs w:val="24"/>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pPr>
              <w:pStyle w:val="style24"/>
              <w:tabs>
                <w:tab w:leader="none" w:pos="358" w:val="left"/>
              </w:tabs>
              <w:ind w:firstLine="223" w:left="0" w:right="0"/>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style0"/>
              <w:ind w:firstLine="217" w:left="0" w:right="0"/>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style0"/>
              <w:ind w:firstLine="217" w:left="0" w:right="0"/>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9</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Спосіб подання документів, необхідних для отримання адміністративної послуги</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1. У паперовій формі документи подаються заявником особисто або поштовим відправленням.</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10</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Платність (безоплатність) надання адміністративної послуги</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Безоплатно</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11</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Строк надання адміністративної послуги</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style0"/>
              <w:ind w:firstLine="217" w:left="0" w:right="0"/>
            </w:pPr>
            <w:r>
              <w:rPr>
                <w:sz w:val="24"/>
                <w:szCs w:val="24"/>
                <w:lang w:eastAsia="uk-UA"/>
              </w:rPr>
              <w:t>Зупинення розгляду документів здійснюється у строк, встановлений для державної реєстрації.</w:t>
            </w:r>
          </w:p>
          <w:p>
            <w:pPr>
              <w:pStyle w:val="style0"/>
              <w:tabs>
                <w:tab w:leader="none" w:pos="27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12</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зупинення розгляду документів, поданих для державної реєстрації</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67" w:val="left"/>
              </w:tabs>
              <w:ind w:firstLine="217" w:left="0" w:right="0"/>
            </w:pPr>
            <w:bookmarkStart w:id="4" w:name="o545"/>
            <w:bookmarkStart w:id="5" w:name="o625"/>
            <w:bookmarkStart w:id="6" w:name="o371"/>
            <w:bookmarkEnd w:id="4"/>
            <w:bookmarkEnd w:id="5"/>
            <w:bookmarkEnd w:id="6"/>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style0"/>
              <w:tabs>
                <w:tab w:leader="none" w:pos="-67" w:val="left"/>
              </w:tabs>
              <w:ind w:firstLine="217" w:left="0" w:right="0"/>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подання документів з порушенням встановленого законодавством строку для їх подання</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13</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відмови у державній реєстрації</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1565" w:val="left"/>
              </w:tabs>
              <w:ind w:firstLine="217" w:left="0" w:right="0"/>
            </w:pPr>
            <w:r>
              <w:rPr>
                <w:sz w:val="24"/>
                <w:szCs w:val="24"/>
                <w:lang w:eastAsia="uk-UA"/>
              </w:rPr>
              <w:t>Документи подано особою, яка не має на це повноважень;</w:t>
            </w:r>
          </w:p>
          <w:p>
            <w:pPr>
              <w:pStyle w:val="style0"/>
              <w:tabs>
                <w:tab w:leader="none" w:pos="1565" w:val="left"/>
              </w:tabs>
              <w:ind w:firstLine="217" w:left="0" w:right="0"/>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style0"/>
              <w:tabs>
                <w:tab w:leader="none" w:pos="1565" w:val="left"/>
              </w:tabs>
              <w:ind w:firstLine="217" w:left="0" w:right="0"/>
            </w:pPr>
            <w:r>
              <w:rPr>
                <w:sz w:val="24"/>
                <w:szCs w:val="24"/>
                <w:lang w:eastAsia="uk-UA"/>
              </w:rPr>
              <w:t>не усунуто підстави для зупинення розгляду документів протягом встановленого строку;</w:t>
            </w:r>
          </w:p>
          <w:p>
            <w:pPr>
              <w:pStyle w:val="style0"/>
              <w:tabs>
                <w:tab w:leader="none" w:pos="1565" w:val="left"/>
              </w:tabs>
              <w:ind w:firstLine="217" w:left="0" w:right="0"/>
            </w:pPr>
            <w:r>
              <w:rPr>
                <w:sz w:val="24"/>
                <w:szCs w:val="24"/>
                <w:lang w:eastAsia="uk-UA"/>
              </w:rPr>
              <w:t>документи суперечать вимогам Конституції та законів України;</w:t>
            </w:r>
          </w:p>
          <w:p>
            <w:pPr>
              <w:pStyle w:val="style0"/>
              <w:tabs>
                <w:tab w:leader="none" w:pos="1565" w:val="left"/>
              </w:tabs>
              <w:ind w:firstLine="217" w:left="0" w:right="0"/>
            </w:pPr>
            <w:r>
              <w:rPr>
                <w:sz w:val="24"/>
                <w:szCs w:val="24"/>
                <w:lang w:eastAsia="uk-UA"/>
              </w:rPr>
              <w:t>невідповідність найменування вимогам закону</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14</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Результат надання адміністративної послуги</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358" w:val="left"/>
                <w:tab w:leader="none" w:pos="449" w:val="left"/>
              </w:tabs>
              <w:ind w:firstLine="217" w:left="0" w:right="0"/>
            </w:pPr>
            <w:bookmarkStart w:id="7" w:name="o638"/>
            <w:bookmarkEnd w:id="7"/>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pPr>
              <w:pStyle w:val="style0"/>
              <w:tabs>
                <w:tab w:leader="none" w:pos="358" w:val="left"/>
                <w:tab w:leader="none" w:pos="449" w:val="left"/>
              </w:tabs>
              <w:ind w:firstLine="217" w:left="0" w:right="0"/>
            </w:pPr>
            <w:r>
              <w:rPr>
                <w:sz w:val="24"/>
                <w:szCs w:val="24"/>
              </w:rPr>
              <w:t xml:space="preserve">виписка з Єдиного державного реєстру юридичних осіб, фізичних осіб – підприємців та громадських формувань в </w:t>
            </w:r>
            <w:r>
              <w:rPr>
                <w:sz w:val="24"/>
                <w:szCs w:val="24"/>
                <w:lang w:eastAsia="uk-UA"/>
              </w:rPr>
              <w:t>електронній формі</w:t>
            </w:r>
            <w:r>
              <w:rPr>
                <w:sz w:val="24"/>
                <w:szCs w:val="24"/>
              </w:rPr>
              <w:t>;</w:t>
            </w:r>
          </w:p>
          <w:p>
            <w:pPr>
              <w:pStyle w:val="style0"/>
              <w:tabs>
                <w:tab w:leader="none" w:pos="358" w:val="left"/>
                <w:tab w:leader="none" w:pos="449" w:val="left"/>
              </w:tabs>
              <w:ind w:firstLine="217" w:left="0" w:right="0"/>
            </w:pPr>
            <w:r>
              <w:rPr>
                <w:sz w:val="24"/>
                <w:szCs w:val="24"/>
              </w:rPr>
              <w:t>повідомлення про відмову у державній реєстрації із зазначенням виключного переліку підстав для відмови</w:t>
            </w:r>
          </w:p>
        </w:tc>
      </w:tr>
      <w:tr>
        <w:trPr>
          <w:cantSplit w:val="false"/>
        </w:trPr>
        <w:tc>
          <w:tcPr>
            <w:tcW w:type="dxa" w:w="48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15</w:t>
            </w:r>
          </w:p>
        </w:tc>
        <w:tc>
          <w:tcPr>
            <w:tcW w:type="dxa" w:w="312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Способи отримання відповіді (результату)</w:t>
            </w:r>
          </w:p>
        </w:tc>
        <w:tc>
          <w:tcPr>
            <w:tcW w:type="dxa" w:w="6149"/>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4"/>
              <w:tabs>
                <w:tab w:leader="none" w:pos="358" w:val="left"/>
              </w:tabs>
              <w:ind w:firstLine="217" w:left="0" w:right="0"/>
            </w:pPr>
            <w:r>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pPr>
              <w:pStyle w:val="style24"/>
              <w:tabs>
                <w:tab w:leader="none" w:pos="358" w:val="left"/>
              </w:tabs>
              <w:ind w:firstLine="217" w:left="0" w:right="0"/>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style0"/>
        <w:jc w:val="right"/>
      </w:pPr>
      <w:bookmarkStart w:id="8" w:name="n43"/>
      <w:bookmarkStart w:id="9" w:name="n43"/>
      <w:bookmarkEnd w:id="9"/>
      <w:r>
        <w:rPr>
          <w:sz w:val="24"/>
          <w:szCs w:val="24"/>
        </w:rPr>
      </w:r>
    </w:p>
    <w:p>
      <w:pPr>
        <w:pStyle w:val="style0"/>
        <w:jc w:val="right"/>
      </w:pPr>
      <w:r>
        <w:rPr>
          <w:sz w:val="24"/>
          <w:szCs w:val="24"/>
        </w:rPr>
      </w:r>
    </w:p>
    <w:p>
      <w:pPr>
        <w:pStyle w:val="style0"/>
        <w:jc w:val="right"/>
      </w:pPr>
      <w:r>
        <w:rPr>
          <w:sz w:val="24"/>
          <w:szCs w:val="24"/>
        </w:rPr>
      </w:r>
    </w:p>
    <w:p>
      <w:pPr>
        <w:pStyle w:val="style0"/>
      </w:pPr>
      <w:r>
        <w:rPr/>
      </w:r>
    </w:p>
    <w:sectPr>
      <w:headerReference r:id="rId3" w:type="default"/>
      <w:type w:val="nextPage"/>
      <w:pgSz w:h="16838" w:w="11906"/>
      <w:pgMar w:bottom="850" w:footer="0" w:gutter="0" w:header="568" w:left="1417" w:right="850" w:top="850"/>
      <w:pgNumType w:fmt="decimal"/>
      <w:formProt w:val="false"/>
      <w:textDirection w:val="lrTb"/>
      <w:docGrid w:charSpace="-8193" w:linePitch="38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3</w:t>
    </w:r>
    <w:r>
      <w:fldChar w:fldCharType="end"/>
    </w:r>
  </w:p>
  <w:p>
    <w:pPr>
      <w:pStyle w:val="style25"/>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3</w:t>
    </w:r>
    <w:r>
      <w:fldChar w:fldCharType="end"/>
    </w:r>
  </w:p>
  <w:p>
    <w:pPr>
      <w:pStyle w:val="style25"/>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jc w:val="both"/>
    </w:pPr>
    <w:rPr>
      <w:rFonts w:ascii="Times New Roman" w:cs="Times New Roman" w:eastAsia="Times New Roman" w:hAnsi="Times New Roman"/>
      <w:color w:val="auto"/>
      <w:sz w:val="28"/>
      <w:szCs w:val="28"/>
      <w:lang w:bidi="ar-SA" w:eastAsia="en-US" w:val="uk-UA"/>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8"/>
      <w:szCs w:val="28"/>
    </w:rPr>
  </w:style>
  <w:style w:styleId="style17" w:type="character">
    <w:name w:val="Нижний колонтитул Знак"/>
    <w:basedOn w:val="style15"/>
    <w:next w:val="style17"/>
    <w:rPr>
      <w:rFonts w:ascii="Times New Roman" w:cs="Times New Roman" w:eastAsia="Times New Roman" w:hAnsi="Times New Roman"/>
      <w:sz w:val="28"/>
      <w:szCs w:val="28"/>
    </w:rPr>
  </w:style>
  <w:style w:styleId="style18" w:type="character">
    <w:name w:val="Текст выноски Знак"/>
    <w:basedOn w:val="style15"/>
    <w:next w:val="style18"/>
    <w:rPr>
      <w:rFonts w:ascii="Tahoma" w:cs="Tahoma" w:eastAsia="Times New Roman" w:hAnsi="Tahoma"/>
      <w:sz w:val="16"/>
      <w:szCs w:val="16"/>
    </w:rPr>
  </w:style>
  <w:style w:styleId="style19" w:type="paragraph">
    <w:name w:val="Заголовок"/>
    <w:basedOn w:val="style0"/>
    <w:next w:val="style20"/>
    <w:pPr>
      <w:keepNext/>
      <w:spacing w:after="120" w:before="240"/>
      <w:contextualSpacing w:val="false"/>
    </w:pPr>
    <w:rPr>
      <w:rFonts w:ascii="Arial" w:cs="Mangal" w:eastAsia="Lucida Sans Unicode"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List Paragraph"/>
    <w:basedOn w:val="style0"/>
    <w:next w:val="style24"/>
    <w:pPr>
      <w:spacing w:after="0" w:before="0"/>
      <w:ind w:hanging="0" w:left="720" w:right="0"/>
      <w:contextualSpacing/>
    </w:pPr>
    <w:rPr/>
  </w:style>
  <w:style w:styleId="style25" w:type="paragraph">
    <w:name w:val="Верхний колонтитул"/>
    <w:basedOn w:val="style0"/>
    <w:next w:val="style25"/>
    <w:pPr>
      <w:suppressLineNumbers/>
      <w:tabs>
        <w:tab w:leader="none" w:pos="4819" w:val="center"/>
        <w:tab w:leader="none" w:pos="9639" w:val="right"/>
      </w:tabs>
    </w:pPr>
    <w:rPr/>
  </w:style>
  <w:style w:styleId="style26" w:type="paragraph">
    <w:name w:val="Нижний колонтитул"/>
    <w:basedOn w:val="style0"/>
    <w:next w:val="style26"/>
    <w:pPr>
      <w:suppressLineNumbers/>
      <w:tabs>
        <w:tab w:leader="none" w:pos="4819" w:val="center"/>
        <w:tab w:leader="none" w:pos="9639" w:val="right"/>
      </w:tabs>
    </w:pPr>
    <w:rPr/>
  </w:style>
  <w:style w:styleId="style27" w:type="paragraph">
    <w:name w:val="Balloon Text"/>
    <w:basedOn w:val="style0"/>
    <w:next w:val="style27"/>
    <w:pPr/>
    <w:rPr>
      <w:rFonts w:ascii="Tahoma" w:cs="Tahoma" w:hAnsi="Tahoma"/>
      <w:sz w:val="16"/>
      <w:szCs w:val="16"/>
    </w:rPr>
  </w:style>
  <w:style w:styleId="style28" w:type="paragraph">
    <w:name w:val="Содержимое таблицы"/>
    <w:basedOn w:val="style0"/>
    <w:next w:val="style28"/>
    <w:pPr>
      <w:suppressLineNumbers/>
    </w:pPr>
    <w:rPr/>
  </w:style>
  <w:style w:styleId="style29" w:type="paragraph">
    <w:name w:val="Заголовок таблицы"/>
    <w:basedOn w:val="style28"/>
    <w:next w:val="style29"/>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2016-04-05T12:45:00.00Z</dcterms:created>
  <dc:creator>Оксана Горбаченко</dc:creator>
  <cp:lastModifiedBy>Антоніда Володимирівна Александрова</cp:lastModifiedBy>
  <cp:lastPrinted>2016-08-12T14:20:12.75Z</cp:lastPrinted>
  <dcterms:modified xsi:type="dcterms:W3CDTF">2016-07-15T07:51:00.00Z</dcterms:modified>
  <cp:revision>25</cp:revision>
</cp:coreProperties>
</file>