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6379" w:right="0"/>
        <w:jc w:val="left"/>
      </w:pPr>
      <w:r>
        <w:rPr>
          <w:sz w:val="26"/>
          <w:szCs w:val="26"/>
          <w:lang w:eastAsia="uk-UA"/>
        </w:rPr>
        <w:t>ЗАТВЕРДЖЕНО</w:t>
      </w:r>
    </w:p>
    <w:p>
      <w:pPr>
        <w:pStyle w:val="style0"/>
        <w:ind w:hanging="0" w:left="6379" w:right="0"/>
        <w:jc w:val="left"/>
      </w:pPr>
      <w:r>
        <w:rPr>
          <w:sz w:val="26"/>
          <w:szCs w:val="26"/>
          <w:lang w:eastAsia="uk-UA"/>
        </w:rPr>
        <w:t xml:space="preserve">Наказ Міністерства юстиції України </w:t>
      </w:r>
    </w:p>
    <w:p>
      <w:pPr>
        <w:pStyle w:val="style0"/>
        <w:ind w:hanging="0" w:left="6379" w:right="0"/>
        <w:jc w:val="left"/>
      </w:pPr>
      <w:r>
        <w:rPr>
          <w:sz w:val="26"/>
          <w:szCs w:val="26"/>
          <w:lang w:eastAsia="uk-UA"/>
        </w:rPr>
        <w:t xml:space="preserve">13 липня 2016 року № </w:t>
      </w:r>
      <w:r>
        <w:rPr>
          <w:sz w:val="26"/>
          <w:szCs w:val="26"/>
          <w:lang w:eastAsia="uk-UA" w:val="ru-RU"/>
        </w:rPr>
        <w:t>1920</w:t>
      </w:r>
      <w:r>
        <w:rPr>
          <w:sz w:val="26"/>
          <w:szCs w:val="26"/>
          <w:lang w:eastAsia="uk-UA"/>
        </w:rPr>
        <w:t>/5</w:t>
      </w:r>
    </w:p>
    <w:p>
      <w:pPr>
        <w:pStyle w:val="style0"/>
        <w:jc w:val="center"/>
      </w:pPr>
      <w:r>
        <w:rPr>
          <w:b/>
          <w:sz w:val="26"/>
          <w:szCs w:val="26"/>
          <w:lang w:eastAsia="uk-UA"/>
        </w:rPr>
      </w:r>
    </w:p>
    <w:p>
      <w:pPr>
        <w:pStyle w:val="style0"/>
        <w:jc w:val="center"/>
      </w:pPr>
      <w:r>
        <w:rPr>
          <w:b/>
          <w:sz w:val="26"/>
          <w:szCs w:val="26"/>
          <w:lang w:eastAsia="uk-UA"/>
        </w:rPr>
      </w:r>
    </w:p>
    <w:p>
      <w:pPr>
        <w:pStyle w:val="style0"/>
        <w:jc w:val="center"/>
      </w:pPr>
      <w:bookmarkStart w:id="0" w:name="_GoBack"/>
      <w:bookmarkStart w:id="1" w:name="_GoBack"/>
      <w:bookmarkEnd w:id="1"/>
      <w:r>
        <w:rPr>
          <w:b/>
          <w:sz w:val="26"/>
          <w:szCs w:val="26"/>
          <w:lang w:eastAsia="uk-UA"/>
        </w:rPr>
      </w:r>
    </w:p>
    <w:p>
      <w:pPr>
        <w:pStyle w:val="style0"/>
        <w:jc w:val="center"/>
      </w:pPr>
      <w:r>
        <w:rPr>
          <w:b/>
          <w:sz w:val="26"/>
          <w:szCs w:val="26"/>
          <w:lang w:eastAsia="uk-UA"/>
        </w:rPr>
        <w:t xml:space="preserve">ІНФОРМАЦІЙНА КАРТКА </w:t>
      </w:r>
    </w:p>
    <w:p>
      <w:pPr>
        <w:pStyle w:val="style0"/>
        <w:jc w:val="center"/>
      </w:pPr>
      <w:r>
        <w:rPr>
          <w:b/>
          <w:sz w:val="26"/>
          <w:szCs w:val="26"/>
          <w:lang w:eastAsia="uk-UA"/>
        </w:rPr>
        <w:t>адміністративної послуги з</w:t>
      </w:r>
      <w:bookmarkStart w:id="2" w:name="n12"/>
      <w:bookmarkEnd w:id="2"/>
      <w:r>
        <w:rPr>
          <w:b/>
          <w:sz w:val="26"/>
          <w:szCs w:val="26"/>
          <w:lang w:eastAsia="uk-UA"/>
        </w:rPr>
        <w:t xml:space="preserve"> державної реєстрації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p>
      <w:pPr>
        <w:pStyle w:val="style0"/>
        <w:jc w:val="center"/>
      </w:pPr>
      <w:r>
        <w:rPr/>
      </w:r>
    </w:p>
    <w:p>
      <w:pPr>
        <w:pStyle w:val="style0"/>
        <w:jc w:val="center"/>
      </w:pPr>
      <w:r>
        <w:rPr>
          <w:b/>
          <w:bCs/>
          <w:sz w:val="26"/>
          <w:szCs w:val="26"/>
          <w:lang w:eastAsia="uk-UA"/>
        </w:rPr>
        <w:t>Відділ державної реєстрації юридичних осіб та фізичних осіб — підприємців</w:t>
      </w:r>
    </w:p>
    <w:p>
      <w:pPr>
        <w:pStyle w:val="style0"/>
        <w:jc w:val="center"/>
      </w:pPr>
      <w:r>
        <w:rPr>
          <w:b/>
          <w:bCs/>
          <w:sz w:val="26"/>
          <w:szCs w:val="26"/>
          <w:lang w:eastAsia="uk-UA"/>
        </w:rPr>
        <w:t>Кіровоградської міської ради</w:t>
      </w:r>
    </w:p>
    <w:p>
      <w:pPr>
        <w:pStyle w:val="style0"/>
        <w:jc w:val="center"/>
      </w:pPr>
      <w:r>
        <w:rPr>
          <w:sz w:val="20"/>
          <w:szCs w:val="20"/>
          <w:lang w:eastAsia="uk-UA"/>
        </w:rPr>
        <w:t>(найменування суб’єкта надання адміністративної послуги та/або центру надання адміністративних послуг)</w:t>
      </w:r>
    </w:p>
    <w:p>
      <w:pPr>
        <w:pStyle w:val="style0"/>
        <w:jc w:val="center"/>
      </w:pPr>
      <w:r>
        <w:rPr>
          <w:sz w:val="20"/>
          <w:szCs w:val="20"/>
          <w:lang w:eastAsia="uk-UA"/>
        </w:rPr>
      </w:r>
    </w:p>
    <w:tbl>
      <w:tblPr>
        <w:jc w:val="left"/>
        <w:tblInd w:type="dxa" w:w="-284"/>
        <w:tblBorders>
          <w:top w:color="000001" w:space="0" w:sz="6" w:val="thickThinLargeGap"/>
          <w:left w:color="000001" w:space="0" w:sz="6" w:val="thickThinLargeGap"/>
          <w:bottom w:color="000001" w:space="0" w:sz="6" w:val="thickThinLargeGap"/>
          <w:right w:color="000001" w:space="0" w:sz="6" w:val="thickThinLargeGap"/>
        </w:tblBorders>
      </w:tblPr>
      <w:tblGrid>
        <w:gridCol w:w="10065"/>
      </w:tblGrid>
      <w:tr>
        <w:trPr>
          <w:cantSplit w:val="false"/>
        </w:trPr>
        <w:tc>
          <w:tcPr>
            <w:tcW w:type="dxa" w:w="10065"/>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bookmarkStart w:id="3" w:name="n14"/>
            <w:bookmarkEnd w:id="3"/>
            <w:r>
              <w:rPr>
                <w:b/>
                <w:sz w:val="24"/>
                <w:szCs w:val="24"/>
                <w:lang w:eastAsia="uk-UA"/>
              </w:rPr>
              <w:t xml:space="preserve">Інформація про суб’єкта надання адміністративної послуги </w:t>
            </w:r>
          </w:p>
          <w:p>
            <w:pPr>
              <w:pStyle w:val="style0"/>
              <w:jc w:val="center"/>
            </w:pPr>
            <w:r>
              <w:rPr>
                <w:b/>
                <w:sz w:val="24"/>
                <w:szCs w:val="24"/>
                <w:lang w:eastAsia="uk-UA"/>
              </w:rPr>
              <w:t>та/або центру надання адміністративних послуг</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1</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pPr>
            <w:r>
              <w:rPr>
                <w:sz w:val="24"/>
                <w:szCs w:val="24"/>
                <w:lang w:eastAsia="uk-UA"/>
              </w:rPr>
              <w:t xml:space="preserve">Місцезнаходження </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ind w:hanging="0" w:left="0" w:right="0"/>
            </w:pPr>
            <w:r>
              <w:rPr>
                <w:b/>
                <w:bCs/>
                <w:i w:val="false"/>
                <w:iCs w:val="false"/>
                <w:sz w:val="24"/>
                <w:szCs w:val="24"/>
                <w:lang w:eastAsia="uk-UA"/>
              </w:rPr>
              <w:t>25022, м.Кропивницький</w:t>
            </w:r>
          </w:p>
          <w:p>
            <w:pPr>
              <w:pStyle w:val="style0"/>
              <w:ind w:hanging="0" w:left="0" w:right="0"/>
            </w:pPr>
            <w:r>
              <w:rPr>
                <w:b/>
                <w:bCs/>
                <w:i w:val="false"/>
                <w:iCs w:val="false"/>
                <w:sz w:val="24"/>
                <w:szCs w:val="24"/>
                <w:lang w:eastAsia="uk-UA"/>
              </w:rPr>
              <w:t>вул. ВеликаПерспективна, буд. 41</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2</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pPr>
            <w:r>
              <w:rPr>
                <w:sz w:val="24"/>
                <w:szCs w:val="24"/>
                <w:lang w:eastAsia="uk-UA"/>
              </w:rPr>
              <w:t xml:space="preserve">Інформація щодо режиму роботи </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ind w:hanging="0" w:left="0" w:right="0"/>
            </w:pPr>
            <w:r>
              <w:rPr>
                <w:b/>
                <w:bCs/>
                <w:i w:val="false"/>
                <w:iCs w:val="false"/>
                <w:sz w:val="24"/>
                <w:szCs w:val="24"/>
                <w:lang w:eastAsia="uk-UA"/>
              </w:rPr>
              <w:t>Понеділок — четвер — з 8.00 до 17.00</w:t>
            </w:r>
          </w:p>
          <w:p>
            <w:pPr>
              <w:pStyle w:val="style0"/>
              <w:ind w:hanging="0" w:left="0" w:right="0"/>
            </w:pPr>
            <w:r>
              <w:rPr>
                <w:b/>
                <w:bCs/>
                <w:i w:val="false"/>
                <w:iCs w:val="false"/>
                <w:sz w:val="24"/>
                <w:szCs w:val="24"/>
                <w:lang w:eastAsia="uk-UA"/>
              </w:rPr>
              <w:t>П'ятниця — з 8.00 до 16.00</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3</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pPr>
            <w:r>
              <w:rPr>
                <w:sz w:val="24"/>
                <w:szCs w:val="24"/>
                <w:lang w:eastAsia="uk-UA"/>
              </w:rPr>
              <w:t xml:space="preserve">Телефон/факс (довідки), адреса електронної пошти та веб-сайт </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28"/>
              <w:ind w:hanging="0" w:left="0" w:right="0"/>
              <w:jc w:val="left"/>
            </w:pPr>
            <w:r>
              <w:rPr>
                <w:color w:val="000000"/>
                <w:sz w:val="24"/>
                <w:szCs w:val="24"/>
                <w:lang w:val="uk-UA"/>
              </w:rPr>
              <w:t>тел. (0522) 24-55-74,</w:t>
            </w:r>
          </w:p>
          <w:p>
            <w:pPr>
              <w:pStyle w:val="style28"/>
              <w:ind w:hanging="0" w:left="0" w:right="0"/>
              <w:jc w:val="left"/>
            </w:pPr>
            <w:r>
              <w:rPr>
                <w:b/>
                <w:bCs/>
                <w:i/>
                <w:color w:val="000000"/>
                <w:sz w:val="24"/>
                <w:szCs w:val="24"/>
                <w:lang w:eastAsia="uk-UA" w:val="uk-UA"/>
              </w:rPr>
              <w:t>веб-сайт: http://www.dozvil.kr.ua</w:t>
            </w:r>
          </w:p>
        </w:tc>
      </w:tr>
      <w:tr>
        <w:trPr>
          <w:trHeight w:hRule="atLeast" w:val="376"/>
          <w:cantSplit w:val="false"/>
        </w:trPr>
        <w:tc>
          <w:tcPr>
            <w:tcW w:type="dxa" w:w="10065"/>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b/>
                <w:sz w:val="24"/>
                <w:szCs w:val="24"/>
                <w:lang w:eastAsia="uk-UA"/>
              </w:rPr>
              <w:t>Нормативні акти, якими регламентується надання адміністративної послуги</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4</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Закони України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24"/>
              <w:tabs>
                <w:tab w:leader="none" w:pos="217" w:val="left"/>
              </w:tabs>
              <w:ind w:firstLine="217" w:left="0" w:right="0"/>
            </w:pPr>
            <w:r>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5</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Акти Кабінету Міністрів України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ind w:firstLine="217" w:left="0" w:right="0"/>
            </w:pPr>
            <w:r>
              <w:rPr>
                <w:sz w:val="24"/>
                <w:szCs w:val="24"/>
                <w:lang w:eastAsia="uk-UA"/>
              </w:rPr>
              <w:t>–</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6</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Акти центральних органів виконавчої влади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24"/>
              <w:tabs>
                <w:tab w:leader="none" w:pos="0" w:val="left"/>
              </w:tabs>
              <w:ind w:firstLine="217" w:left="0" w:right="0"/>
            </w:pPr>
            <w:r>
              <w:rPr>
                <w:sz w:val="24"/>
                <w:szCs w:val="24"/>
                <w:lang w:eastAsia="uk-UA"/>
              </w:rPr>
              <w:t xml:space="preserve">Наказ Міністерства юстиції України від 06.01.2016 </w:t>
              <w:br/>
              <w:t>№ 15/5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06.01.2016 за № 14/28144;</w:t>
            </w:r>
          </w:p>
          <w:p>
            <w:pPr>
              <w:pStyle w:val="style24"/>
              <w:tabs>
                <w:tab w:leader="none" w:pos="0" w:val="left"/>
              </w:tabs>
              <w:ind w:firstLine="217" w:left="0" w:right="0"/>
            </w:pPr>
            <w:r>
              <w:rPr>
                <w:sz w:val="24"/>
                <w:szCs w:val="24"/>
                <w:lang w:eastAsia="uk-UA"/>
              </w:rPr>
              <w:t xml:space="preserve">наказ Міністерства юстиції України від 09.02.2016          </w:t>
              <w:br/>
              <w:t>№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pPr>
              <w:pStyle w:val="style24"/>
              <w:tabs>
                <w:tab w:leader="none" w:pos="0" w:val="left"/>
              </w:tabs>
              <w:ind w:firstLine="217" w:left="0" w:right="0"/>
            </w:pPr>
            <w:r>
              <w:rPr>
                <w:sz w:val="24"/>
                <w:szCs w:val="24"/>
                <w:lang w:eastAsia="uk-UA"/>
              </w:rPr>
              <w:t xml:space="preserve">наказ Міністерства юстиції України від 23.03.2016 </w:t>
              <w:br/>
              <w:t xml:space="preserve">№ 784/5 «Про затвердження Порядку функціонування порталу електронних сервісів юридичних осіб, фізичних </w:t>
              <w:br/>
              <w:t>осіб – підприємців та громадських формувань, що не мають статусу юридичної особи», зареєстрований у Міністерстві юстиції України 23.03.2016 за № 427/28557</w:t>
            </w:r>
          </w:p>
        </w:tc>
      </w:tr>
      <w:tr>
        <w:trPr>
          <w:cantSplit w:val="false"/>
        </w:trPr>
        <w:tc>
          <w:tcPr>
            <w:tcW w:type="dxa" w:w="10065"/>
            <w:gridSpan w:val="3"/>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b/>
                <w:sz w:val="24"/>
                <w:szCs w:val="24"/>
                <w:lang w:eastAsia="uk-UA"/>
              </w:rPr>
              <w:t>Умови отримання адміністративної послуги</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7</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Підстава для отримання адміністративної послуги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ind w:firstLine="217" w:left="0" w:right="0"/>
            </w:pPr>
            <w:r>
              <w:rPr>
                <w:sz w:val="24"/>
                <w:szCs w:val="24"/>
              </w:rPr>
              <w:t xml:space="preserve">Звернення уповноваженого представника юридичної особи </w:t>
            </w:r>
            <w:r>
              <w:rPr>
                <w:sz w:val="24"/>
                <w:szCs w:val="24"/>
                <w:lang w:eastAsia="uk-UA"/>
              </w:rPr>
              <w:t>(далі – заявник)</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8</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Вичерпний перелік документів, необхідних для отримання адміністративної послуги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sectPr>
                <w:headerReference r:id="rId2" w:type="default"/>
                <w:type w:val="nextPage"/>
                <w:pgSz w:h="16838" w:w="11906"/>
                <w:pgMar w:bottom="709" w:footer="0" w:gutter="0" w:header="568" w:left="1417" w:right="850" w:top="850"/>
                <w:pgNumType w:fmt="decimal"/>
                <w:formProt w:val="false"/>
                <w:titlePg/>
                <w:textDirection w:val="lrTb"/>
                <w:docGrid w:charSpace="-8193" w:linePitch="381" w:type="default"/>
              </w:sectPr>
              <w:pStyle w:val="style0"/>
              <w:ind w:firstLine="217" w:left="0" w:right="0"/>
            </w:pPr>
            <w:bookmarkStart w:id="4" w:name="n550"/>
            <w:bookmarkEnd w:id="4"/>
            <w:r>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pPr>
              <w:pStyle w:val="style0"/>
              <w:ind w:firstLine="217" w:left="0" w:right="0"/>
            </w:pPr>
            <w:r>
              <w:rPr>
                <w:sz w:val="24"/>
                <w:szCs w:val="24"/>
                <w:lang w:eastAsia="uk-UA"/>
              </w:rPr>
              <w:t xml:space="preserve">Представником </w:t>
            </w:r>
            <w:r>
              <w:rPr>
                <w:sz w:val="24"/>
                <w:szCs w:val="24"/>
              </w:rPr>
              <w:t>юридичної особи</w:t>
            </w:r>
            <w:r>
              <w:rPr>
                <w:sz w:val="24"/>
                <w:szCs w:val="24"/>
                <w:lang w:eastAsia="uk-UA"/>
              </w:rPr>
              <w:t xml:space="preserve"> додатково подається примірник оригіналу (нотаріально засвідчена копія) документа, що засвідчує його повноваження.</w:t>
            </w:r>
          </w:p>
          <w:p>
            <w:pPr>
              <w:pStyle w:val="style0"/>
              <w:ind w:firstLine="217" w:left="0" w:right="0"/>
            </w:pPr>
            <w:r>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9</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Спосіб подання документів, необхідних для отримання адміністративної послуги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217" w:left="0" w:right="0"/>
            </w:pPr>
            <w:r>
              <w:rPr>
                <w:sz w:val="24"/>
                <w:szCs w:val="24"/>
              </w:rPr>
              <w:t>1. У паперовій формі документи подаються заявником особисто або поштовим відправленням.</w:t>
            </w:r>
          </w:p>
          <w:p>
            <w:pPr>
              <w:pStyle w:val="style0"/>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217" w:left="0" w:right="0"/>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через портал електронних сервісів</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10</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Платність (безоплатність) надання адміністративної послуги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ind w:firstLine="217" w:left="0" w:right="0"/>
            </w:pPr>
            <w:r>
              <w:rPr>
                <w:sz w:val="24"/>
                <w:szCs w:val="24"/>
                <w:lang w:eastAsia="uk-UA"/>
              </w:rPr>
              <w:t>Безоплатно</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11</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Строк надання адміністративної послуги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ind w:firstLine="217" w:left="0" w:right="0"/>
            </w:pPr>
            <w:r>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pPr>
              <w:pStyle w:val="style0"/>
              <w:ind w:firstLine="217" w:left="0" w:right="0"/>
            </w:pPr>
            <w:r>
              <w:rPr>
                <w:sz w:val="24"/>
                <w:szCs w:val="24"/>
                <w:lang w:eastAsia="uk-UA"/>
              </w:rPr>
              <w:t>Зупинення розгляду документів здійснюється у строк, встановлений для державної реєстрації.</w:t>
            </w:r>
          </w:p>
          <w:p>
            <w:pPr>
              <w:pStyle w:val="style0"/>
              <w:tabs>
                <w:tab w:leader="none" w:pos="270" w:val="left"/>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217" w:left="0" w:right="0"/>
            </w:pPr>
            <w:r>
              <w:rPr>
                <w:sz w:val="24"/>
                <w:szCs w:val="24"/>
                <w:lang w:eastAsia="uk-UA"/>
              </w:rPr>
              <w:t>Строк зупинення розгляду документів, поданих для державної реєстрації, становить 15 календарних днів з дати їх подання</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12</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Перелік підстав для зупинення розгляду документів, поданих для державної реєстрації</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tabs>
                <w:tab w:leader="none" w:pos="-67" w:val="left"/>
              </w:tabs>
              <w:ind w:firstLine="217" w:left="0" w:right="0"/>
            </w:pPr>
            <w:bookmarkStart w:id="5" w:name="o545"/>
            <w:bookmarkStart w:id="6" w:name="o625"/>
            <w:bookmarkStart w:id="7" w:name="o371"/>
            <w:bookmarkEnd w:id="5"/>
            <w:bookmarkEnd w:id="6"/>
            <w:bookmarkEnd w:id="7"/>
            <w:r>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pPr>
              <w:pStyle w:val="style0"/>
              <w:tabs>
                <w:tab w:leader="none" w:pos="-67" w:val="left"/>
              </w:tabs>
              <w:ind w:firstLine="217" w:left="0" w:right="0"/>
            </w:pPr>
            <w:r>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pPr>
              <w:pStyle w:val="style0"/>
              <w:tabs>
                <w:tab w:leader="none" w:pos="-67" w:val="left"/>
              </w:tabs>
              <w:ind w:firstLine="217" w:left="0" w:right="0"/>
            </w:pPr>
            <w:r>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pPr>
              <w:pStyle w:val="style0"/>
              <w:tabs>
                <w:tab w:leader="none" w:pos="-67" w:val="left"/>
              </w:tabs>
              <w:ind w:firstLine="217" w:left="0" w:right="0"/>
            </w:pPr>
            <w:r>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pPr>
              <w:pStyle w:val="style0"/>
              <w:tabs>
                <w:tab w:leader="none" w:pos="-67" w:val="left"/>
              </w:tabs>
              <w:ind w:firstLine="217" w:left="0" w:right="0"/>
            </w:pPr>
            <w:r>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pPr>
              <w:pStyle w:val="style0"/>
              <w:tabs>
                <w:tab w:leader="none" w:pos="-67" w:val="left"/>
              </w:tabs>
              <w:ind w:firstLine="217" w:left="0" w:right="0"/>
            </w:pPr>
            <w:r>
              <w:rPr>
                <w:sz w:val="24"/>
                <w:szCs w:val="24"/>
                <w:lang w:eastAsia="uk-UA"/>
              </w:rPr>
              <w:t>подання документів з порушенням встановленого законодавством строку для їх подання</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13</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Перелік підстав для відмови у державній реєстрації</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tabs>
                <w:tab w:leader="none" w:pos="1565" w:val="left"/>
              </w:tabs>
              <w:ind w:firstLine="217" w:left="0" w:right="0"/>
            </w:pPr>
            <w:r>
              <w:rPr>
                <w:sz w:val="24"/>
                <w:szCs w:val="24"/>
                <w:lang w:eastAsia="uk-UA"/>
              </w:rPr>
              <w:t>Документи подано особою, яка не має на це повноважень;</w:t>
            </w:r>
          </w:p>
          <w:p>
            <w:pPr>
              <w:pStyle w:val="style0"/>
              <w:tabs>
                <w:tab w:leader="none" w:pos="1565" w:val="left"/>
              </w:tabs>
              <w:ind w:firstLine="217" w:left="0" w:right="0"/>
            </w:pPr>
            <w:r>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pPr>
              <w:pStyle w:val="style0"/>
              <w:tabs>
                <w:tab w:leader="none" w:pos="1565" w:val="left"/>
              </w:tabs>
              <w:ind w:firstLine="217" w:left="0" w:right="0"/>
            </w:pPr>
            <w:r>
              <w:rPr>
                <w:sz w:val="24"/>
                <w:szCs w:val="24"/>
                <w:lang w:eastAsia="uk-UA"/>
              </w:rPr>
              <w:t>не усунуто підстави для зупинення розгляду документів протягом встановленого строку;</w:t>
            </w:r>
          </w:p>
          <w:p>
            <w:pPr>
              <w:pStyle w:val="style0"/>
              <w:tabs>
                <w:tab w:leader="none" w:pos="1565" w:val="left"/>
              </w:tabs>
              <w:ind w:firstLine="217" w:left="0" w:right="0"/>
            </w:pPr>
            <w:r>
              <w:rPr>
                <w:sz w:val="24"/>
                <w:szCs w:val="24"/>
                <w:lang w:eastAsia="uk-UA"/>
              </w:rPr>
              <w:t>документи суперечать вимогам Конституції та законів України</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14</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Результат надання адміністративної послуги</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tabs>
                <w:tab w:leader="none" w:pos="358" w:val="left"/>
                <w:tab w:leader="none" w:pos="449" w:val="left"/>
              </w:tabs>
              <w:ind w:firstLine="217" w:left="0" w:right="0"/>
            </w:pPr>
            <w:bookmarkStart w:id="8" w:name="o638"/>
            <w:bookmarkEnd w:id="8"/>
            <w:r>
              <w:rPr>
                <w:sz w:val="24"/>
                <w:szCs w:val="24"/>
              </w:rPr>
              <w:t xml:space="preserve">Внесення відповідного запису до </w:t>
            </w:r>
            <w:r>
              <w:rPr>
                <w:sz w:val="24"/>
                <w:szCs w:val="24"/>
                <w:lang w:eastAsia="uk-UA"/>
              </w:rPr>
              <w:t>Єдиного державного реєстру юридичних осіб, фізичних осіб – підприємців та громадських формувань;</w:t>
            </w:r>
          </w:p>
          <w:p>
            <w:pPr>
              <w:pStyle w:val="style0"/>
              <w:tabs>
                <w:tab w:leader="none" w:pos="358" w:val="left"/>
              </w:tabs>
              <w:ind w:firstLine="217" w:left="0" w:right="0"/>
            </w:pPr>
            <w:r>
              <w:rPr>
                <w:sz w:val="24"/>
                <w:szCs w:val="24"/>
              </w:rPr>
              <w:t xml:space="preserve">виписка з </w:t>
            </w:r>
            <w:r>
              <w:rPr>
                <w:sz w:val="24"/>
                <w:szCs w:val="24"/>
                <w:lang w:eastAsia="uk-UA"/>
              </w:rPr>
              <w:t>Єдиного державного реєстру юридичних осіб, фізичних осіб – підприємців та громадських формувань в електронній формі;</w:t>
            </w:r>
          </w:p>
          <w:p>
            <w:pPr>
              <w:pStyle w:val="style0"/>
              <w:tabs>
                <w:tab w:leader="none" w:pos="358" w:val="left"/>
                <w:tab w:leader="none" w:pos="449" w:val="left"/>
              </w:tabs>
              <w:ind w:firstLine="217" w:left="0" w:right="0"/>
            </w:pPr>
            <w:r>
              <w:rPr>
                <w:sz w:val="24"/>
                <w:szCs w:val="24"/>
                <w:lang w:eastAsia="uk-UA"/>
              </w:rPr>
              <w:t>повідомлення про відмову у державній реєстрації із зазначенням виключного переліку підстав для відмови</w:t>
            </w:r>
          </w:p>
        </w:tc>
      </w:tr>
      <w:tr>
        <w:trPr>
          <w:cantSplit w:val="false"/>
        </w:trPr>
        <w:tc>
          <w:tcPr>
            <w:tcW w:type="dxa" w:w="486"/>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center"/>
            </w:pPr>
            <w:r>
              <w:rPr>
                <w:sz w:val="24"/>
                <w:szCs w:val="24"/>
                <w:lang w:eastAsia="uk-UA"/>
              </w:rPr>
              <w:t>15</w:t>
            </w:r>
          </w:p>
        </w:tc>
        <w:tc>
          <w:tcPr>
            <w:tcW w:type="dxa" w:w="3121"/>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0"/>
              <w:jc w:val="left"/>
            </w:pPr>
            <w:r>
              <w:rPr>
                <w:sz w:val="24"/>
                <w:szCs w:val="24"/>
                <w:lang w:eastAsia="uk-UA"/>
              </w:rPr>
              <w:t>Способи отримання відповіді (результату)</w:t>
            </w:r>
          </w:p>
        </w:tc>
        <w:tc>
          <w:tcPr>
            <w:tcW w:type="dxa" w:w="6458"/>
            <w:tcBorders>
              <w:top w:color="000001" w:space="0" w:sz="6" w:val="thickThinLargeGap"/>
              <w:left w:color="000001" w:space="0" w:sz="6" w:val="thickThinLargeGap"/>
              <w:bottom w:color="000001" w:space="0" w:sz="6" w:val="thickThinLargeGap"/>
              <w:right w:color="000001" w:space="0" w:sz="6" w:val="thickThinLargeGap"/>
            </w:tcBorders>
            <w:shd w:fill="auto" w:val="clear"/>
            <w:tcMar>
              <w:top w:type="dxa" w:w="60"/>
              <w:left w:type="dxa" w:w="60"/>
              <w:bottom w:type="dxa" w:w="60"/>
              <w:right w:type="dxa" w:w="60"/>
            </w:tcMar>
          </w:tcPr>
          <w:p>
            <w:pPr>
              <w:pStyle w:val="style24"/>
              <w:tabs>
                <w:tab w:leader="none" w:pos="358" w:val="left"/>
              </w:tabs>
              <w:ind w:firstLine="217" w:left="0" w:right="0"/>
            </w:pPr>
            <w:r>
              <w:rPr>
                <w:sz w:val="24"/>
                <w:szCs w:val="24"/>
              </w:rPr>
              <w:t xml:space="preserve">Результати надання адміністративної послуги у сфері державної реєстрації (у тому числі виписка з </w:t>
            </w:r>
            <w:r>
              <w:rPr>
                <w:sz w:val="24"/>
                <w:szCs w:val="24"/>
                <w:lang w:eastAsia="uk-UA"/>
              </w:rPr>
              <w:t xml:space="preserve">Єдиного державного реєстру юридичних осіб, фізичних осіб – підприємців та громадських формувань) </w:t>
            </w:r>
            <w:r>
              <w:rPr>
                <w:sz w:val="24"/>
                <w:szCs w:val="24"/>
              </w:rPr>
              <w:t>оприлюднюються на порталі електронних сервісів та доступні для їх пошуку за кодом доступу.</w:t>
            </w:r>
          </w:p>
          <w:p>
            <w:pPr>
              <w:pStyle w:val="style24"/>
              <w:tabs>
                <w:tab w:leader="none" w:pos="358" w:val="left"/>
              </w:tabs>
              <w:ind w:firstLine="217" w:left="0" w:right="0"/>
            </w:pPr>
            <w:r>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pPr>
        <w:pStyle w:val="style0"/>
        <w:jc w:val="right"/>
      </w:pPr>
      <w:bookmarkStart w:id="9" w:name="n43"/>
      <w:bookmarkStart w:id="10" w:name="n43"/>
      <w:bookmarkEnd w:id="10"/>
      <w:r>
        <w:rPr>
          <w:sz w:val="24"/>
          <w:szCs w:val="24"/>
        </w:rPr>
      </w:r>
    </w:p>
    <w:p>
      <w:pPr>
        <w:pStyle w:val="style0"/>
        <w:jc w:val="right"/>
      </w:pPr>
      <w:r>
        <w:rPr>
          <w:sz w:val="24"/>
          <w:szCs w:val="24"/>
        </w:rPr>
      </w:r>
    </w:p>
    <w:p>
      <w:pPr>
        <w:pStyle w:val="style0"/>
        <w:jc w:val="right"/>
      </w:pPr>
      <w:r>
        <w:rPr>
          <w:sz w:val="24"/>
          <w:szCs w:val="24"/>
        </w:rPr>
      </w:r>
    </w:p>
    <w:p>
      <w:pPr>
        <w:pStyle w:val="style0"/>
      </w:pPr>
      <w:r>
        <w:rPr/>
      </w:r>
    </w:p>
    <w:sectPr>
      <w:headerReference r:id="rId3" w:type="default"/>
      <w:type w:val="nextPage"/>
      <w:pgSz w:h="16838" w:w="11906"/>
      <w:pgMar w:bottom="709" w:footer="0" w:gutter="0" w:header="568" w:left="1417" w:right="850" w:top="850"/>
      <w:pgNumType w:fmt="decimal"/>
      <w:formProt w:val="false"/>
      <w:textDirection w:val="lrTb"/>
      <w:docGrid w:charSpace="-8193" w:linePitch="38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3</w:t>
    </w:r>
    <w:r>
      <w:fldChar w:fldCharType="end"/>
    </w:r>
  </w:p>
  <w:p>
    <w:pPr>
      <w:pStyle w:val="style25"/>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3</w:t>
    </w:r>
    <w:r>
      <w:fldChar w:fldCharType="end"/>
    </w:r>
  </w:p>
  <w:p>
    <w:pPr>
      <w:pStyle w:val="style25"/>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0" w:before="0" w:line="100" w:lineRule="atLeast"/>
      <w:contextualSpacing w:val="false"/>
      <w:jc w:val="both"/>
    </w:pPr>
    <w:rPr>
      <w:rFonts w:ascii="Times New Roman" w:cs="Times New Roman" w:eastAsia="Times New Roman" w:hAnsi="Times New Roman"/>
      <w:color w:val="auto"/>
      <w:sz w:val="28"/>
      <w:szCs w:val="28"/>
      <w:lang w:bidi="ar-SA" w:eastAsia="en-US" w:val="uk-UA"/>
    </w:rPr>
  </w:style>
  <w:style w:styleId="style15" w:type="character">
    <w:name w:val="Default Paragraph Font"/>
    <w:next w:val="style15"/>
    <w:rPr/>
  </w:style>
  <w:style w:styleId="style16" w:type="character">
    <w:name w:val="Верхний колонтитул Знак"/>
    <w:basedOn w:val="style15"/>
    <w:next w:val="style16"/>
    <w:rPr>
      <w:rFonts w:ascii="Times New Roman" w:cs="Times New Roman" w:eastAsia="Times New Roman" w:hAnsi="Times New Roman"/>
      <w:sz w:val="28"/>
      <w:szCs w:val="28"/>
    </w:rPr>
  </w:style>
  <w:style w:styleId="style17" w:type="character">
    <w:name w:val="Нижний колонтитул Знак"/>
    <w:basedOn w:val="style15"/>
    <w:next w:val="style17"/>
    <w:rPr>
      <w:rFonts w:ascii="Times New Roman" w:cs="Times New Roman" w:eastAsia="Times New Roman" w:hAnsi="Times New Roman"/>
      <w:sz w:val="28"/>
      <w:szCs w:val="28"/>
    </w:rPr>
  </w:style>
  <w:style w:styleId="style18" w:type="character">
    <w:name w:val="Текст выноски Знак"/>
    <w:basedOn w:val="style15"/>
    <w:next w:val="style18"/>
    <w:rPr>
      <w:rFonts w:ascii="Tahoma" w:cs="Tahoma" w:eastAsia="Times New Roman" w:hAnsi="Tahoma"/>
      <w:sz w:val="16"/>
      <w:szCs w:val="16"/>
    </w:rPr>
  </w:style>
  <w:style w:styleId="style19" w:type="paragraph">
    <w:name w:val="Заголовок"/>
    <w:basedOn w:val="style0"/>
    <w:next w:val="style20"/>
    <w:pPr>
      <w:keepNext/>
      <w:spacing w:after="120" w:before="240"/>
      <w:contextualSpacing w:val="false"/>
    </w:pPr>
    <w:rPr>
      <w:rFonts w:ascii="Arial" w:cs="Mangal" w:eastAsia="Lucida Sans Unicode" w:hAnsi="Arial"/>
      <w:sz w:val="28"/>
      <w:szCs w:val="28"/>
    </w:rPr>
  </w:style>
  <w:style w:styleId="style20" w:type="paragraph">
    <w:name w:val="Основной текст"/>
    <w:basedOn w:val="style0"/>
    <w:next w:val="style20"/>
    <w:pPr>
      <w:spacing w:after="120" w:before="0"/>
      <w:contextualSpacing w:val="false"/>
    </w:pPr>
    <w:rPr/>
  </w:style>
  <w:style w:styleId="style21" w:type="paragraph">
    <w:name w:val="Список"/>
    <w:basedOn w:val="style20"/>
    <w:next w:val="style21"/>
    <w:pPr/>
    <w:rPr>
      <w:rFonts w:cs="Mangal"/>
    </w:rPr>
  </w:style>
  <w:style w:styleId="style22" w:type="paragraph">
    <w:name w:val="Название"/>
    <w:basedOn w:val="style0"/>
    <w:next w:val="style22"/>
    <w:pPr>
      <w:suppressLineNumbers/>
      <w:spacing w:after="120" w:before="120"/>
      <w:contextualSpacing w:val="false"/>
    </w:pPr>
    <w:rPr>
      <w:rFonts w:cs="Mangal"/>
      <w:i/>
      <w:iCs/>
      <w:sz w:val="24"/>
      <w:szCs w:val="24"/>
    </w:rPr>
  </w:style>
  <w:style w:styleId="style23" w:type="paragraph">
    <w:name w:val="Указатель"/>
    <w:basedOn w:val="style0"/>
    <w:next w:val="style23"/>
    <w:pPr>
      <w:suppressLineNumbers/>
    </w:pPr>
    <w:rPr>
      <w:rFonts w:cs="Mangal"/>
    </w:rPr>
  </w:style>
  <w:style w:styleId="style24" w:type="paragraph">
    <w:name w:val="List Paragraph"/>
    <w:basedOn w:val="style0"/>
    <w:next w:val="style24"/>
    <w:pPr>
      <w:spacing w:after="0" w:before="0"/>
      <w:ind w:hanging="0" w:left="720" w:right="0"/>
      <w:contextualSpacing/>
    </w:pPr>
    <w:rPr/>
  </w:style>
  <w:style w:styleId="style25" w:type="paragraph">
    <w:name w:val="Верхний колонтитул"/>
    <w:basedOn w:val="style0"/>
    <w:next w:val="style25"/>
    <w:pPr>
      <w:suppressLineNumbers/>
      <w:tabs>
        <w:tab w:leader="none" w:pos="4819" w:val="center"/>
        <w:tab w:leader="none" w:pos="9639" w:val="right"/>
      </w:tabs>
    </w:pPr>
    <w:rPr/>
  </w:style>
  <w:style w:styleId="style26" w:type="paragraph">
    <w:name w:val="Нижний колонтитул"/>
    <w:basedOn w:val="style0"/>
    <w:next w:val="style26"/>
    <w:pPr>
      <w:suppressLineNumbers/>
      <w:tabs>
        <w:tab w:leader="none" w:pos="4819" w:val="center"/>
        <w:tab w:leader="none" w:pos="9639" w:val="right"/>
      </w:tabs>
    </w:pPr>
    <w:rPr/>
  </w:style>
  <w:style w:styleId="style27" w:type="paragraph">
    <w:name w:val="Balloon Text"/>
    <w:basedOn w:val="style0"/>
    <w:next w:val="style27"/>
    <w:pPr/>
    <w:rPr>
      <w:rFonts w:ascii="Tahoma" w:cs="Tahoma" w:hAnsi="Tahoma"/>
      <w:sz w:val="16"/>
      <w:szCs w:val="16"/>
    </w:rPr>
  </w:style>
  <w:style w:styleId="style28" w:type="paragraph">
    <w:name w:val="Содержимое таблицы"/>
    <w:basedOn w:val="style0"/>
    <w:next w:val="style28"/>
    <w:pPr>
      <w:suppressLineNumbers/>
    </w:pPr>
    <w:rPr/>
  </w:style>
  <w:style w:styleId="style29" w:type="paragraph">
    <w:name w:val="Заголовок таблицы"/>
    <w:basedOn w:val="style28"/>
    <w:next w:val="style29"/>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2016-06-16T13:54:00.00Z</dcterms:created>
  <dc:creator>Оксана Горбаченко</dc:creator>
  <cp:lastModifiedBy>Антоніда Володимирівна Александрова</cp:lastModifiedBy>
  <cp:lastPrinted>2016-08-12T10:24:41.47Z</cp:lastPrinted>
  <dcterms:modified xsi:type="dcterms:W3CDTF">2016-07-15T07:49:00.00Z</dcterms:modified>
  <cp:revision>22</cp:revision>
</cp:coreProperties>
</file>